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4" w:type="dxa"/>
        <w:tblInd w:w="-162" w:type="dxa"/>
        <w:tblLook w:val="01E0" w:firstRow="1" w:lastRow="1" w:firstColumn="1" w:lastColumn="1" w:noHBand="0" w:noVBand="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D85A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 </w:t>
            </w:r>
            <w:r w:rsidR="00D85A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CA59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A59E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F15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06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0F15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753E26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="000F159A">
        <w:rPr>
          <w:rFonts w:ascii="Times New Roman" w:hAnsi="Times New Roman"/>
          <w:b/>
          <w:sz w:val="28"/>
          <w:szCs w:val="28"/>
        </w:rPr>
        <w:t>.</w:t>
      </w:r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753E26" w:rsidRDefault="00753E26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273/TB-</w:t>
      </w:r>
      <w:proofErr w:type="gramStart"/>
      <w:r>
        <w:rPr>
          <w:rFonts w:ascii="Times New Roman" w:hAnsi="Times New Roman"/>
          <w:sz w:val="28"/>
          <w:szCs w:val="28"/>
        </w:rPr>
        <w:t xml:space="preserve">CCTHADS 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02/6/2023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159A" w:rsidRDefault="000F159A" w:rsidP="000F159A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 27/QĐ-CCTHADS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16/6/2023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159A" w:rsidRDefault="000F159A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19/6/2023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AE7D95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Thửa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số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184,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tờ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bản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đồ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20,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diện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tích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268 m</w:t>
      </w:r>
      <w:r w:rsidR="00064A3B" w:rsidRPr="00064A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tại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thôn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Đông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Mai,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xã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Trung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Nghĩa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huyện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Yên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Phong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tỉnh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Bắc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Ninh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đã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được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huyện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Yên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Phong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cấp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Giấy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chứng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nhận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quyền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sử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dụng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quyền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sở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hữu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nhà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và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tài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sản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gắn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liền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với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số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BU 768956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ngày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20/10/2014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cho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>
        <w:rPr>
          <w:rFonts w:ascii="Times New Roman" w:hAnsi="Times New Roman"/>
          <w:sz w:val="28"/>
          <w:szCs w:val="28"/>
        </w:rPr>
        <w:t>a</w:t>
      </w:r>
      <w:r w:rsidR="00064A3B" w:rsidRPr="00064A3B">
        <w:rPr>
          <w:rFonts w:ascii="Times New Roman" w:hAnsi="Times New Roman"/>
          <w:sz w:val="28"/>
          <w:szCs w:val="28"/>
        </w:rPr>
        <w:t>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Ngô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Văn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Hùng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>.</w:t>
      </w:r>
    </w:p>
    <w:p w:rsidR="00BD6DF7" w:rsidRPr="00897524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897524" w:rsidRPr="00897524">
        <w:rPr>
          <w:rFonts w:ascii="Times New Roman" w:hAnsi="Times New Roman"/>
          <w:b/>
          <w:sz w:val="28"/>
          <w:szCs w:val="28"/>
          <w:lang w:val="nl-NL"/>
        </w:rPr>
        <w:t>1.200.150.000</w:t>
      </w:r>
      <w:r w:rsidR="00897524" w:rsidRPr="00897524">
        <w:rPr>
          <w:rFonts w:ascii="Times New Roman" w:hAnsi="Times New Roman"/>
          <w:sz w:val="28"/>
          <w:szCs w:val="28"/>
          <w:lang w:val="nl-NL"/>
        </w:rPr>
        <w:t xml:space="preserve">đ </w:t>
      </w:r>
      <w:r w:rsidR="00897524" w:rsidRPr="00897524">
        <w:rPr>
          <w:rFonts w:ascii="Times New Roman" w:hAnsi="Times New Roman"/>
          <w:i/>
          <w:sz w:val="28"/>
          <w:szCs w:val="28"/>
          <w:lang w:val="nl-NL"/>
        </w:rPr>
        <w:t>(Một tỷ, hai trăm triệu, một trăm năm mươi nghìn đồng)</w:t>
      </w:r>
      <w:r w:rsidR="00897524" w:rsidRPr="00897524">
        <w:rPr>
          <w:rFonts w:ascii="Times New Roman" w:hAnsi="Times New Roman"/>
          <w:sz w:val="28"/>
          <w:szCs w:val="28"/>
          <w:lang w:val="nl-NL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897524" w:rsidRPr="00753E26" w:rsidRDefault="003C531C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ký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 w:rsidP="00753E26">
      <w:bookmarkStart w:id="0" w:name="_GoBack"/>
      <w:bookmarkEnd w:id="0"/>
    </w:p>
    <w:sectPr w:rsidR="00BD6DF7" w:rsidSect="00753E26">
      <w:pgSz w:w="12240" w:h="15840"/>
      <w:pgMar w:top="284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16C"/>
    <w:rsid w:val="00064A3B"/>
    <w:rsid w:val="000C616C"/>
    <w:rsid w:val="000F159A"/>
    <w:rsid w:val="00223DA1"/>
    <w:rsid w:val="00230CBE"/>
    <w:rsid w:val="0024439A"/>
    <w:rsid w:val="002C79E4"/>
    <w:rsid w:val="002F7620"/>
    <w:rsid w:val="003B2E3B"/>
    <w:rsid w:val="003C531C"/>
    <w:rsid w:val="00502762"/>
    <w:rsid w:val="0072187C"/>
    <w:rsid w:val="00753E26"/>
    <w:rsid w:val="00776F21"/>
    <w:rsid w:val="00833BE8"/>
    <w:rsid w:val="00836A5B"/>
    <w:rsid w:val="00897524"/>
    <w:rsid w:val="009965B9"/>
    <w:rsid w:val="00A002CE"/>
    <w:rsid w:val="00AA6E3F"/>
    <w:rsid w:val="00AE7D95"/>
    <w:rsid w:val="00B134B2"/>
    <w:rsid w:val="00BD6DF7"/>
    <w:rsid w:val="00CA59E3"/>
    <w:rsid w:val="00CF5442"/>
    <w:rsid w:val="00D85A3D"/>
    <w:rsid w:val="00E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13FEA-9D1A-4681-8992-2A9A1172A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D576C-4A04-473E-84D9-9444A80B4F66}"/>
</file>

<file path=customXml/itemProps3.xml><?xml version="1.0" encoding="utf-8"?>
<ds:datastoreItem xmlns:ds="http://schemas.openxmlformats.org/officeDocument/2006/customXml" ds:itemID="{06A19509-E0A8-4F99-A981-30D5021C4FFD}"/>
</file>

<file path=customXml/itemProps4.xml><?xml version="1.0" encoding="utf-8"?>
<ds:datastoreItem xmlns:ds="http://schemas.openxmlformats.org/officeDocument/2006/customXml" ds:itemID="{67B10CE2-9DDC-4BE3-BD71-8FBB88E71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19</cp:revision>
  <cp:lastPrinted>2023-06-28T02:31:00Z</cp:lastPrinted>
  <dcterms:created xsi:type="dcterms:W3CDTF">2021-05-20T02:39:00Z</dcterms:created>
  <dcterms:modified xsi:type="dcterms:W3CDTF">2023-06-28T02:33:00Z</dcterms:modified>
</cp:coreProperties>
</file>